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05E99" w14:textId="29D9945D" w:rsidR="003D7D01" w:rsidRPr="003D7D01" w:rsidRDefault="003D7D01" w:rsidP="003D7D01">
      <w:pPr>
        <w:pStyle w:val="p1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D7D01">
        <w:rPr>
          <w:rFonts w:ascii="Times New Roman" w:hAnsi="Times New Roman" w:cs="Times New Roman"/>
          <w:sz w:val="22"/>
          <w:szCs w:val="22"/>
        </w:rPr>
        <w:t>Probing Coordinated Gating of Inner and Outer Gates in a CLC Antiporter through Mutational and Structural Analyses</w:t>
      </w:r>
    </w:p>
    <w:p w14:paraId="69C61529" w14:textId="1651810F" w:rsidR="00FE7230" w:rsidRPr="003D7D01" w:rsidRDefault="003D7D01" w:rsidP="003D7D01">
      <w:pPr>
        <w:spacing w:line="360" w:lineRule="auto"/>
        <w:rPr>
          <w:rFonts w:ascii="Times New Roman" w:hAnsi="Times New Roman" w:cs="Times New Roman"/>
          <w:szCs w:val="22"/>
        </w:rPr>
      </w:pPr>
      <w:r w:rsidRPr="003D7D01">
        <w:rPr>
          <w:rFonts w:ascii="Times New Roman" w:hAnsi="Times New Roman" w:cs="Times New Roman"/>
          <w:szCs w:val="22"/>
        </w:rPr>
        <w:t>Hyun-Ho Lim</w:t>
      </w:r>
    </w:p>
    <w:p w14:paraId="166503D9" w14:textId="5C0E76C8" w:rsidR="003D7D01" w:rsidRPr="003D7D01" w:rsidRDefault="003D7D01" w:rsidP="003D7D01">
      <w:pPr>
        <w:spacing w:line="360" w:lineRule="auto"/>
        <w:rPr>
          <w:rFonts w:ascii="Times New Roman" w:hAnsi="Times New Roman" w:cs="Times New Roman"/>
          <w:szCs w:val="22"/>
        </w:rPr>
      </w:pPr>
      <w:r w:rsidRPr="003D7D01">
        <w:rPr>
          <w:rFonts w:ascii="Times New Roman" w:hAnsi="Times New Roman" w:cs="Times New Roman"/>
          <w:szCs w:val="22"/>
        </w:rPr>
        <w:t>Lab. of Ion Channel Biophysics, Neurovascular Unit Research Group, Korea Brain Research Institute (KBRI)</w:t>
      </w:r>
    </w:p>
    <w:p w14:paraId="5604AAC5" w14:textId="77777777" w:rsidR="003D7D01" w:rsidRPr="003D7D01" w:rsidRDefault="003D7D01" w:rsidP="003D7D01">
      <w:pPr>
        <w:spacing w:line="360" w:lineRule="auto"/>
        <w:rPr>
          <w:rFonts w:ascii="Times New Roman" w:hAnsi="Times New Roman" w:cs="Times New Roman"/>
        </w:rPr>
      </w:pPr>
    </w:p>
    <w:p w14:paraId="1ACEB76E" w14:textId="202C7E98" w:rsidR="007B5943" w:rsidRDefault="00712974" w:rsidP="009B7C87">
      <w:pPr>
        <w:spacing w:line="360" w:lineRule="auto"/>
        <w:rPr>
          <w:rFonts w:ascii="Times New Roman" w:hAnsi="Times New Roman" w:cs="Times New Roman"/>
        </w:rPr>
      </w:pPr>
      <w:r w:rsidRPr="00712974">
        <w:rPr>
          <w:rFonts w:ascii="Times New Roman" w:hAnsi="Times New Roman" w:cs="Times New Roman"/>
        </w:rPr>
        <w:t xml:space="preserve">CLC family proteins regulate chloride (Cl⁻) homeostasis across cellular membranes and are classified into two functional classes: Cl⁻ channels and Cl⁻/H⁺ antiporters. </w:t>
      </w:r>
      <w:r w:rsidR="00F4317B" w:rsidRPr="00F4317B">
        <w:rPr>
          <w:rFonts w:ascii="Times New Roman" w:hAnsi="Times New Roman" w:cs="Times New Roman"/>
        </w:rPr>
        <w:t xml:space="preserve">While channels mediate passive Cl⁻ transport, antiporters </w:t>
      </w:r>
      <w:r w:rsidR="00F4317B">
        <w:rPr>
          <w:rFonts w:ascii="Times New Roman" w:hAnsi="Times New Roman" w:cs="Times New Roman"/>
        </w:rPr>
        <w:t xml:space="preserve">stoichiometrically </w:t>
      </w:r>
      <w:r w:rsidR="00F4317B" w:rsidRPr="00F4317B">
        <w:rPr>
          <w:rFonts w:ascii="Times New Roman" w:hAnsi="Times New Roman" w:cs="Times New Roman"/>
        </w:rPr>
        <w:t xml:space="preserve">exchange two Cl⁻ for one H⁺. </w:t>
      </w:r>
      <w:r>
        <w:rPr>
          <w:rFonts w:ascii="Times New Roman" w:hAnsi="Times New Roman" w:cs="Times New Roman"/>
        </w:rPr>
        <w:t>In both cases, i</w:t>
      </w:r>
      <w:r w:rsidR="00F4317B" w:rsidRPr="00F4317B">
        <w:rPr>
          <w:rFonts w:ascii="Times New Roman" w:hAnsi="Times New Roman" w:cs="Times New Roman"/>
        </w:rPr>
        <w:t>on transport is regulated by inner and outer gates, which respond to stimuli such as voltage, pH, and permeant ions.</w:t>
      </w:r>
      <w:r w:rsidR="00F4317B">
        <w:rPr>
          <w:rFonts w:ascii="Times New Roman" w:hAnsi="Times New Roman" w:cs="Times New Roman"/>
        </w:rPr>
        <w:t xml:space="preserve"> </w:t>
      </w:r>
      <w:r w:rsidR="00F4317B" w:rsidRPr="00F4317B">
        <w:rPr>
          <w:rFonts w:ascii="Times New Roman" w:hAnsi="Times New Roman" w:cs="Times New Roman"/>
        </w:rPr>
        <w:t>Structural and functional studies have identified a key glutamate residue (the gating glutamate, or Glu</w:t>
      </w:r>
      <w:r w:rsidR="00F4317B" w:rsidRPr="00F4317B">
        <w:rPr>
          <w:rFonts w:ascii="Times New Roman" w:hAnsi="Times New Roman" w:cs="Times New Roman"/>
          <w:vertAlign w:val="subscript"/>
        </w:rPr>
        <w:t>ex</w:t>
      </w:r>
      <w:r w:rsidR="00F4317B" w:rsidRPr="00F4317B">
        <w:rPr>
          <w:rFonts w:ascii="Times New Roman" w:hAnsi="Times New Roman" w:cs="Times New Roman"/>
        </w:rPr>
        <w:t>) acting as the outer gate, which undergoes multiple conformational changes during pH- and voltage-dependent gating in both CLC channels and antiporters. In contrast, the inner gate, formed by two hydroxyl-bearing residues</w:t>
      </w:r>
      <w:r w:rsidR="00F4317B">
        <w:rPr>
          <w:rFonts w:ascii="Times New Roman" w:hAnsi="Times New Roman" w:cs="Times New Roman"/>
        </w:rPr>
        <w:t xml:space="preserve">, conserved </w:t>
      </w:r>
      <w:r w:rsidR="00F4317B" w:rsidRPr="00F4317B">
        <w:rPr>
          <w:rFonts w:ascii="Times New Roman" w:hAnsi="Times New Roman" w:cs="Times New Roman"/>
        </w:rPr>
        <w:t>serine and tyrosine at central positions (Ser</w:t>
      </w:r>
      <w:r w:rsidR="00F4317B" w:rsidRPr="00F4317B">
        <w:rPr>
          <w:rFonts w:ascii="Times New Roman" w:hAnsi="Times New Roman" w:cs="Times New Roman"/>
          <w:vertAlign w:val="subscript"/>
        </w:rPr>
        <w:t>cen</w:t>
      </w:r>
      <w:r w:rsidR="00F4317B" w:rsidRPr="00F4317B">
        <w:rPr>
          <w:rFonts w:ascii="Times New Roman" w:hAnsi="Times New Roman" w:cs="Times New Roman"/>
        </w:rPr>
        <w:t xml:space="preserve"> and Tyr</w:t>
      </w:r>
      <w:r w:rsidR="00F4317B" w:rsidRPr="00F4317B">
        <w:rPr>
          <w:rFonts w:ascii="Times New Roman" w:hAnsi="Times New Roman" w:cs="Times New Roman"/>
          <w:vertAlign w:val="subscript"/>
        </w:rPr>
        <w:t>cen</w:t>
      </w:r>
      <w:r w:rsidR="00F4317B" w:rsidRPr="00F4317B">
        <w:rPr>
          <w:rFonts w:ascii="Times New Roman" w:hAnsi="Times New Roman" w:cs="Times New Roman"/>
        </w:rPr>
        <w:t>)</w:t>
      </w:r>
      <w:r w:rsidR="00F4317B">
        <w:rPr>
          <w:rFonts w:ascii="Times New Roman" w:hAnsi="Times New Roman" w:cs="Times New Roman"/>
        </w:rPr>
        <w:t xml:space="preserve">, </w:t>
      </w:r>
      <w:r w:rsidR="00F4317B" w:rsidRPr="00F4317B">
        <w:rPr>
          <w:rFonts w:ascii="Times New Roman" w:hAnsi="Times New Roman" w:cs="Times New Roman"/>
        </w:rPr>
        <w:t xml:space="preserve">has been considered </w:t>
      </w:r>
      <w:r w:rsidR="00F4317B">
        <w:rPr>
          <w:rFonts w:ascii="Times New Roman" w:hAnsi="Times New Roman" w:cs="Times New Roman"/>
        </w:rPr>
        <w:t xml:space="preserve">rather </w:t>
      </w:r>
      <w:r w:rsidR="00F4317B" w:rsidRPr="00F4317B">
        <w:rPr>
          <w:rFonts w:ascii="Times New Roman" w:hAnsi="Times New Roman" w:cs="Times New Roman"/>
        </w:rPr>
        <w:t>a static kinetic barrier. However, this kinetic barrier model appears in</w:t>
      </w:r>
      <w:r w:rsidR="00F4317B">
        <w:rPr>
          <w:rFonts w:ascii="Times New Roman" w:hAnsi="Times New Roman" w:cs="Times New Roman"/>
        </w:rPr>
        <w:t>e</w:t>
      </w:r>
      <w:r w:rsidR="00F4317B" w:rsidRPr="00F4317B">
        <w:rPr>
          <w:rFonts w:ascii="Times New Roman" w:hAnsi="Times New Roman" w:cs="Times New Roman"/>
        </w:rPr>
        <w:t xml:space="preserve">fficient to </w:t>
      </w:r>
      <w:r w:rsidR="00F4317B">
        <w:rPr>
          <w:rFonts w:ascii="Times New Roman" w:hAnsi="Times New Roman" w:cs="Times New Roman"/>
        </w:rPr>
        <w:t>achieve</w:t>
      </w:r>
      <w:r w:rsidR="00F4317B" w:rsidRPr="00F4317B">
        <w:rPr>
          <w:rFonts w:ascii="Times New Roman" w:hAnsi="Times New Roman" w:cs="Times New Roman"/>
        </w:rPr>
        <w:t xml:space="preserve"> 2:1 Cl⁻/H⁺ coupling, compared to the classical “alternating access model” used to describe </w:t>
      </w:r>
      <w:r w:rsidR="00D844C4">
        <w:rPr>
          <w:rFonts w:ascii="Times New Roman" w:hAnsi="Times New Roman" w:cs="Times New Roman"/>
        </w:rPr>
        <w:t xml:space="preserve">conventional </w:t>
      </w:r>
      <w:r w:rsidR="00F4317B" w:rsidRPr="00F4317B">
        <w:rPr>
          <w:rFonts w:ascii="Times New Roman" w:hAnsi="Times New Roman" w:cs="Times New Roman"/>
        </w:rPr>
        <w:t>transporter mechanisms.</w:t>
      </w:r>
    </w:p>
    <w:p w14:paraId="0EE73998" w14:textId="5D46EF86" w:rsidR="007B5943" w:rsidRPr="003D7D01" w:rsidRDefault="00CF150C" w:rsidP="009B7C87">
      <w:pPr>
        <w:spacing w:line="360" w:lineRule="auto"/>
        <w:rPr>
          <w:rFonts w:ascii="Times New Roman" w:hAnsi="Times New Roman" w:cs="Times New Roman"/>
        </w:rPr>
      </w:pPr>
      <w:r w:rsidRPr="00CF150C">
        <w:rPr>
          <w:rFonts w:ascii="Times New Roman" w:hAnsi="Times New Roman" w:cs="Times New Roman"/>
        </w:rPr>
        <w:t>To test whether the inner gate actively gates and coordinates with the outer gate, we introduced mutations at pore-lining residues and examined their effects on ion transport rates, chloride-binding affinity, and structure.</w:t>
      </w:r>
      <w:r>
        <w:rPr>
          <w:rFonts w:ascii="Times New Roman" w:hAnsi="Times New Roman" w:cs="Times New Roman" w:hint="eastAsia"/>
        </w:rPr>
        <w:t xml:space="preserve"> </w:t>
      </w:r>
      <w:r w:rsidR="007B5943" w:rsidRPr="007B5943">
        <w:rPr>
          <w:rFonts w:ascii="Times New Roman" w:hAnsi="Times New Roman" w:cs="Times New Roman"/>
        </w:rPr>
        <w:t>In this symposium, I will present the functional and structural impact of two key mutations: one stabilizes the outer gate while destabilizing the inner gate, and the other selectively stabilizes the inner gate. These findings support a model in which the CLC antiporter exchanges Cl⁻ and H⁺ through a semi-alternating access mechanism involving coordinated gating of the inner and outer gates.</w:t>
      </w:r>
    </w:p>
    <w:sectPr w:rsidR="007B5943" w:rsidRPr="003D7D0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01"/>
    <w:rsid w:val="00057D89"/>
    <w:rsid w:val="000C345B"/>
    <w:rsid w:val="00101D0F"/>
    <w:rsid w:val="001155DC"/>
    <w:rsid w:val="0016567A"/>
    <w:rsid w:val="00172945"/>
    <w:rsid w:val="002E7AD0"/>
    <w:rsid w:val="003252B2"/>
    <w:rsid w:val="003A2C1D"/>
    <w:rsid w:val="003D7D01"/>
    <w:rsid w:val="003F7675"/>
    <w:rsid w:val="00445FEC"/>
    <w:rsid w:val="004C5731"/>
    <w:rsid w:val="00527244"/>
    <w:rsid w:val="00532C6E"/>
    <w:rsid w:val="00536449"/>
    <w:rsid w:val="00582B1D"/>
    <w:rsid w:val="005B3E00"/>
    <w:rsid w:val="005D58CF"/>
    <w:rsid w:val="00655DBB"/>
    <w:rsid w:val="006904E1"/>
    <w:rsid w:val="006961E5"/>
    <w:rsid w:val="006A2D72"/>
    <w:rsid w:val="006C1F14"/>
    <w:rsid w:val="006E7621"/>
    <w:rsid w:val="00712974"/>
    <w:rsid w:val="007B066F"/>
    <w:rsid w:val="007B5943"/>
    <w:rsid w:val="007D4040"/>
    <w:rsid w:val="007D449C"/>
    <w:rsid w:val="007E425A"/>
    <w:rsid w:val="00861970"/>
    <w:rsid w:val="008F76A1"/>
    <w:rsid w:val="00913278"/>
    <w:rsid w:val="00915487"/>
    <w:rsid w:val="00916E6B"/>
    <w:rsid w:val="009414F0"/>
    <w:rsid w:val="00943148"/>
    <w:rsid w:val="0098671D"/>
    <w:rsid w:val="00995F64"/>
    <w:rsid w:val="009B4F66"/>
    <w:rsid w:val="009B7C87"/>
    <w:rsid w:val="00A1500E"/>
    <w:rsid w:val="00A31D0F"/>
    <w:rsid w:val="00A57ED0"/>
    <w:rsid w:val="00A667C6"/>
    <w:rsid w:val="00AD041E"/>
    <w:rsid w:val="00AF256D"/>
    <w:rsid w:val="00B32CFA"/>
    <w:rsid w:val="00B4421C"/>
    <w:rsid w:val="00B83FBF"/>
    <w:rsid w:val="00BE2625"/>
    <w:rsid w:val="00BE4DDB"/>
    <w:rsid w:val="00BF4A7F"/>
    <w:rsid w:val="00BF5F60"/>
    <w:rsid w:val="00C101DA"/>
    <w:rsid w:val="00C13C52"/>
    <w:rsid w:val="00C722D3"/>
    <w:rsid w:val="00CC62AA"/>
    <w:rsid w:val="00CF150C"/>
    <w:rsid w:val="00D1581A"/>
    <w:rsid w:val="00D75794"/>
    <w:rsid w:val="00D844C4"/>
    <w:rsid w:val="00DC779B"/>
    <w:rsid w:val="00DD17FE"/>
    <w:rsid w:val="00DF7499"/>
    <w:rsid w:val="00E373A5"/>
    <w:rsid w:val="00E8766A"/>
    <w:rsid w:val="00ED1FB7"/>
    <w:rsid w:val="00F2763C"/>
    <w:rsid w:val="00F4317B"/>
    <w:rsid w:val="00FD0991"/>
    <w:rsid w:val="00FE7230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C29064"/>
  <w15:chartTrackingRefBased/>
  <w15:docId w15:val="{F108B4C7-5ED8-D742-A87C-C7BA0DB2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D7D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D7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D7D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D7D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D7D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D7D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D7D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D7D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D7D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D7D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D7D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D7D0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D7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D7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D7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D7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D7D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D7D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D7D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D7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D7D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D7D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D7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D7D0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D7D0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D7D0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D7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D7D0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D7D0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3D7D01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6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LimHyun-Ho</dc:creator>
  <cp:keywords/>
  <dc:description/>
  <cp:lastModifiedBy>LimHyun-Ho</cp:lastModifiedBy>
  <cp:revision>5</cp:revision>
  <dcterms:created xsi:type="dcterms:W3CDTF">2025-03-31T13:13:00Z</dcterms:created>
  <dcterms:modified xsi:type="dcterms:W3CDTF">2025-04-07T05:28:00Z</dcterms:modified>
</cp:coreProperties>
</file>